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71" w:rsidRPr="0047480B" w:rsidRDefault="00A86B71" w:rsidP="00A86B71">
      <w:pPr>
        <w:jc w:val="center"/>
        <w:rPr>
          <w:rFonts w:ascii="Tahoma" w:hAnsi="Tahoma" w:cs="Tahoma"/>
          <w:b/>
        </w:rPr>
      </w:pPr>
      <w:r w:rsidRPr="0047480B">
        <w:rPr>
          <w:rFonts w:ascii="Tahoma" w:hAnsi="Tahoma" w:cs="Tahoma"/>
          <w:b/>
        </w:rPr>
        <w:t>Case Western Reserve University School of Medicine</w:t>
      </w:r>
    </w:p>
    <w:p w:rsidR="00A86B71" w:rsidRPr="0047480B" w:rsidRDefault="00A86B71" w:rsidP="00A86B71">
      <w:pPr>
        <w:jc w:val="center"/>
        <w:rPr>
          <w:rFonts w:ascii="Tahoma" w:hAnsi="Tahoma" w:cs="Tahoma"/>
          <w:b/>
        </w:rPr>
      </w:pPr>
      <w:r w:rsidRPr="0047480B">
        <w:rPr>
          <w:rFonts w:ascii="Tahoma" w:hAnsi="Tahoma" w:cs="Tahoma"/>
          <w:b/>
        </w:rPr>
        <w:t>Continuing Medical Education</w:t>
      </w:r>
    </w:p>
    <w:p w:rsidR="00A86B71" w:rsidRPr="0047480B" w:rsidRDefault="00A86B71" w:rsidP="00A86B71">
      <w:pPr>
        <w:jc w:val="center"/>
        <w:rPr>
          <w:rFonts w:ascii="Tahoma" w:hAnsi="Tahoma" w:cs="Tahoma"/>
          <w:b/>
        </w:rPr>
      </w:pPr>
      <w:r w:rsidRPr="0047480B">
        <w:rPr>
          <w:rFonts w:ascii="Tahoma" w:hAnsi="Tahoma" w:cs="Tahoma"/>
          <w:b/>
        </w:rPr>
        <w:t>Activity Director Expectations</w:t>
      </w:r>
    </w:p>
    <w:p w:rsidR="00AB1A75" w:rsidRPr="00A86B71" w:rsidRDefault="00AB1A75" w:rsidP="00A86B71">
      <w:pPr>
        <w:jc w:val="center"/>
        <w:rPr>
          <w:rFonts w:ascii="Tahoma" w:hAnsi="Tahoma" w:cs="Tahoma"/>
          <w:b/>
          <w:sz w:val="22"/>
          <w:szCs w:val="19"/>
        </w:rPr>
      </w:pPr>
    </w:p>
    <w:p w:rsidR="00A86B71" w:rsidRDefault="00A86B71" w:rsidP="00551AB8">
      <w:pPr>
        <w:rPr>
          <w:rFonts w:ascii="Tahoma" w:hAnsi="Tahoma" w:cs="Tahoma"/>
          <w:sz w:val="22"/>
          <w:szCs w:val="19"/>
        </w:rPr>
      </w:pPr>
    </w:p>
    <w:p w:rsidR="00551AB8" w:rsidRDefault="00551AB8" w:rsidP="00551AB8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47480B">
        <w:rPr>
          <w:rFonts w:ascii="Tahoma" w:hAnsi="Tahoma" w:cs="Tahoma"/>
        </w:rPr>
        <w:t>The Activity Director (AD) must be a current full time or a cl</w:t>
      </w:r>
      <w:r w:rsidR="00AB1A75" w:rsidRPr="0047480B">
        <w:rPr>
          <w:rFonts w:ascii="Tahoma" w:hAnsi="Tahoma" w:cs="Tahoma"/>
        </w:rPr>
        <w:t>inical faculty member of the School of Medicine (SOM)</w:t>
      </w:r>
      <w:r w:rsidR="0047480B">
        <w:rPr>
          <w:rFonts w:ascii="Tahoma" w:hAnsi="Tahoma" w:cs="Tahoma"/>
        </w:rPr>
        <w:t>.</w:t>
      </w:r>
    </w:p>
    <w:p w:rsidR="00A86B71" w:rsidRPr="0047480B" w:rsidRDefault="00A86B71" w:rsidP="00B957E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47480B">
        <w:rPr>
          <w:rFonts w:ascii="Tahoma" w:hAnsi="Tahoma" w:cs="Tahoma"/>
        </w:rPr>
        <w:t xml:space="preserve">When a faculty member is considering the role of an AD or immediately after they have committed, the CME program must have an independent conversation with the </w:t>
      </w:r>
      <w:r w:rsidR="00AB1A75" w:rsidRPr="0047480B">
        <w:rPr>
          <w:rFonts w:ascii="Tahoma" w:hAnsi="Tahoma" w:cs="Tahoma"/>
        </w:rPr>
        <w:t xml:space="preserve">AD </w:t>
      </w:r>
      <w:r w:rsidRPr="0047480B">
        <w:rPr>
          <w:rFonts w:ascii="Tahoma" w:hAnsi="Tahoma" w:cs="Tahoma"/>
        </w:rPr>
        <w:t>stressing that they are integrally involved in reviewing or altering education if needed</w:t>
      </w:r>
      <w:r w:rsidR="0047480B">
        <w:rPr>
          <w:rFonts w:ascii="Tahoma" w:hAnsi="Tahoma" w:cs="Tahoma"/>
        </w:rPr>
        <w:t>.</w:t>
      </w:r>
    </w:p>
    <w:p w:rsidR="00A86B71" w:rsidRPr="0047480B" w:rsidRDefault="0047480B" w:rsidP="00A86B7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The AD will assure e</w:t>
      </w:r>
      <w:r w:rsidR="00A86B71" w:rsidRPr="0047480B">
        <w:rPr>
          <w:rFonts w:ascii="Tahoma" w:hAnsi="Tahoma" w:cs="Tahoma"/>
        </w:rPr>
        <w:t>ducation is well balanced in terms of tests or treatment</w:t>
      </w:r>
      <w:r>
        <w:rPr>
          <w:rFonts w:ascii="Tahoma" w:hAnsi="Tahoma" w:cs="Tahoma"/>
        </w:rPr>
        <w:t>.</w:t>
      </w:r>
    </w:p>
    <w:p w:rsidR="00A86B71" w:rsidRDefault="0047480B" w:rsidP="00737F94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The f</w:t>
      </w:r>
      <w:r w:rsidR="00A86B71" w:rsidRPr="0047480B">
        <w:rPr>
          <w:rFonts w:ascii="Tahoma" w:hAnsi="Tahoma" w:cs="Tahoma"/>
        </w:rPr>
        <w:t>aculty member strongly endorses t</w:t>
      </w:r>
      <w:r>
        <w:rPr>
          <w:rFonts w:ascii="Tahoma" w:hAnsi="Tahoma" w:cs="Tahoma"/>
        </w:rPr>
        <w:t>he content and subject matter</w:t>
      </w:r>
      <w:r w:rsidR="00A86B71" w:rsidRPr="0047480B">
        <w:rPr>
          <w:rFonts w:ascii="Tahoma" w:hAnsi="Tahoma" w:cs="Tahoma"/>
        </w:rPr>
        <w:t xml:space="preserve"> and is able to verify that they are supe</w:t>
      </w:r>
      <w:r>
        <w:rPr>
          <w:rFonts w:ascii="Tahoma" w:hAnsi="Tahoma" w:cs="Tahoma"/>
        </w:rPr>
        <w:t>rvising and vetting the content.</w:t>
      </w:r>
    </w:p>
    <w:p w:rsidR="00D04CAE" w:rsidRDefault="00D04CAE" w:rsidP="00737F94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04CAE">
        <w:rPr>
          <w:rFonts w:ascii="Tahoma" w:hAnsi="Tahoma" w:cs="Tahoma"/>
        </w:rPr>
        <w:t>The AD is responsible for completing mitigation forms and troubleshooting issue</w:t>
      </w:r>
      <w:r>
        <w:rPr>
          <w:rFonts w:ascii="Tahoma" w:hAnsi="Tahoma" w:cs="Tahoma"/>
        </w:rPr>
        <w:t>s</w:t>
      </w:r>
      <w:r w:rsidRPr="00D04CAE">
        <w:rPr>
          <w:rFonts w:ascii="Tahoma" w:hAnsi="Tahoma" w:cs="Tahoma"/>
        </w:rPr>
        <w:t xml:space="preserve"> as they arise</w:t>
      </w:r>
      <w:r>
        <w:rPr>
          <w:rFonts w:ascii="Tahoma" w:hAnsi="Tahoma" w:cs="Tahoma"/>
        </w:rPr>
        <w:t>.</w:t>
      </w:r>
    </w:p>
    <w:p w:rsidR="009A0BDC" w:rsidRPr="009A0BDC" w:rsidRDefault="009A0BDC" w:rsidP="00737F94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9A0BDC">
        <w:rPr>
          <w:rFonts w:ascii="Tahoma" w:hAnsi="Tahoma" w:cs="Tahoma"/>
        </w:rPr>
        <w:t>The AD will review evaluation results for program improvement.</w:t>
      </w:r>
    </w:p>
    <w:p w:rsidR="00551AB8" w:rsidRPr="0047480B" w:rsidRDefault="00A86B71" w:rsidP="00551AB8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47480B">
        <w:rPr>
          <w:rFonts w:ascii="Tahoma" w:hAnsi="Tahoma" w:cs="Tahoma"/>
        </w:rPr>
        <w:t>T</w:t>
      </w:r>
      <w:r w:rsidR="00551AB8" w:rsidRPr="0047480B">
        <w:rPr>
          <w:rFonts w:ascii="Tahoma" w:hAnsi="Tahoma" w:cs="Tahoma"/>
        </w:rPr>
        <w:t>he program planning process will</w:t>
      </w:r>
      <w:r w:rsidRPr="0047480B">
        <w:rPr>
          <w:rFonts w:ascii="Tahoma" w:hAnsi="Tahoma" w:cs="Tahoma"/>
        </w:rPr>
        <w:t xml:space="preserve"> be in compliance with the ACCME </w:t>
      </w:r>
      <w:r w:rsidR="000F3FB1">
        <w:rPr>
          <w:rFonts w:ascii="Tahoma" w:hAnsi="Tahoma" w:cs="Tahoma"/>
        </w:rPr>
        <w:t xml:space="preserve">Standards for </w:t>
      </w:r>
      <w:r w:rsidRPr="0047480B">
        <w:rPr>
          <w:rFonts w:ascii="Tahoma" w:hAnsi="Tahoma" w:cs="Tahoma"/>
        </w:rPr>
        <w:t>Integrity and Independence in Accredited Continuing Education</w:t>
      </w:r>
      <w:r w:rsidR="0047480B">
        <w:rPr>
          <w:rFonts w:ascii="Tahoma" w:hAnsi="Tahoma" w:cs="Tahoma"/>
        </w:rPr>
        <w:t>.</w:t>
      </w:r>
    </w:p>
    <w:p w:rsidR="00A86B71" w:rsidRPr="0047480B" w:rsidRDefault="00A86B71" w:rsidP="00A86B71">
      <w:pPr>
        <w:numPr>
          <w:ilvl w:val="0"/>
          <w:numId w:val="3"/>
        </w:numPr>
        <w:rPr>
          <w:rFonts w:ascii="Tahoma" w:hAnsi="Tahoma" w:cs="Tahoma"/>
        </w:rPr>
      </w:pPr>
      <w:r w:rsidRPr="0047480B">
        <w:rPr>
          <w:rFonts w:ascii="Tahoma" w:hAnsi="Tahoma" w:cs="Tahoma"/>
        </w:rPr>
        <w:t>An educational need of the target audience has, or will be, verified.</w:t>
      </w:r>
    </w:p>
    <w:p w:rsidR="00A86B71" w:rsidRPr="0047480B" w:rsidRDefault="00A86B71" w:rsidP="00A86B71">
      <w:pPr>
        <w:numPr>
          <w:ilvl w:val="0"/>
          <w:numId w:val="3"/>
        </w:numPr>
        <w:rPr>
          <w:rFonts w:ascii="Tahoma" w:hAnsi="Tahoma" w:cs="Tahoma"/>
        </w:rPr>
      </w:pPr>
      <w:r w:rsidRPr="0047480B">
        <w:rPr>
          <w:rFonts w:ascii="Tahoma" w:hAnsi="Tahoma" w:cs="Tahoma"/>
        </w:rPr>
        <w:t>The CME Program will only sponsor an activity when Program staff has been involved from the earliest stages of educational development, prefera</w:t>
      </w:r>
      <w:r w:rsidR="0047480B">
        <w:rPr>
          <w:rFonts w:ascii="Tahoma" w:hAnsi="Tahoma" w:cs="Tahoma"/>
        </w:rPr>
        <w:t>bly the entire planning process.</w:t>
      </w:r>
    </w:p>
    <w:p w:rsidR="00A86B71" w:rsidRPr="0047480B" w:rsidRDefault="00A86B71" w:rsidP="00A86B71">
      <w:pPr>
        <w:numPr>
          <w:ilvl w:val="0"/>
          <w:numId w:val="3"/>
        </w:numPr>
        <w:rPr>
          <w:rFonts w:ascii="Tahoma" w:hAnsi="Tahoma" w:cs="Tahoma"/>
        </w:rPr>
      </w:pPr>
      <w:r w:rsidRPr="0047480B">
        <w:rPr>
          <w:rFonts w:ascii="Tahoma" w:hAnsi="Tahoma" w:cs="Tahoma"/>
        </w:rPr>
        <w:t>Appropriate faculty is ava</w:t>
      </w:r>
      <w:r w:rsidR="0047480B">
        <w:rPr>
          <w:rFonts w:ascii="Tahoma" w:hAnsi="Tahoma" w:cs="Tahoma"/>
        </w:rPr>
        <w:t>ilable to provide the education.</w:t>
      </w:r>
    </w:p>
    <w:p w:rsidR="00A86B71" w:rsidRPr="0047480B" w:rsidRDefault="00A86B71" w:rsidP="00A86B71">
      <w:pPr>
        <w:numPr>
          <w:ilvl w:val="0"/>
          <w:numId w:val="3"/>
        </w:numPr>
        <w:rPr>
          <w:rFonts w:ascii="Tahoma" w:hAnsi="Tahoma" w:cs="Tahoma"/>
        </w:rPr>
      </w:pPr>
      <w:r w:rsidRPr="0047480B">
        <w:rPr>
          <w:rFonts w:ascii="Tahoma" w:hAnsi="Tahoma" w:cs="Tahoma"/>
        </w:rPr>
        <w:t>Administrative resources are availabl</w:t>
      </w:r>
      <w:r w:rsidR="0047480B">
        <w:rPr>
          <w:rFonts w:ascii="Tahoma" w:hAnsi="Tahoma" w:cs="Tahoma"/>
        </w:rPr>
        <w:t>e to manage the activity.</w:t>
      </w:r>
    </w:p>
    <w:p w:rsidR="00A86B71" w:rsidRPr="0047480B" w:rsidRDefault="00A86B71" w:rsidP="00A86B71">
      <w:pPr>
        <w:numPr>
          <w:ilvl w:val="0"/>
          <w:numId w:val="3"/>
        </w:numPr>
        <w:rPr>
          <w:rFonts w:ascii="Tahoma" w:hAnsi="Tahoma" w:cs="Tahoma"/>
        </w:rPr>
      </w:pPr>
      <w:r w:rsidRPr="0047480B">
        <w:rPr>
          <w:rFonts w:ascii="Tahoma" w:hAnsi="Tahoma" w:cs="Tahoma"/>
        </w:rPr>
        <w:t>Financial resources are available t</w:t>
      </w:r>
      <w:r w:rsidR="0047480B">
        <w:rPr>
          <w:rFonts w:ascii="Tahoma" w:hAnsi="Tahoma" w:cs="Tahoma"/>
        </w:rPr>
        <w:t>o pay activity expenses in full.</w:t>
      </w:r>
    </w:p>
    <w:p w:rsidR="00A86B71" w:rsidRPr="0047480B" w:rsidRDefault="00A86B71" w:rsidP="00A86B7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47480B">
        <w:rPr>
          <w:rFonts w:ascii="Tahoma" w:hAnsi="Tahoma" w:cs="Tahoma"/>
        </w:rPr>
        <w:t>Commercial sources have not, and will not, guide the development of the activity or its educational content</w:t>
      </w:r>
      <w:r w:rsidR="0047480B">
        <w:rPr>
          <w:rFonts w:ascii="Tahoma" w:hAnsi="Tahoma" w:cs="Tahoma"/>
        </w:rPr>
        <w:t>.</w:t>
      </w:r>
    </w:p>
    <w:p w:rsidR="00551AB8" w:rsidRPr="0047480B" w:rsidRDefault="00551AB8" w:rsidP="00551AB8">
      <w:pPr>
        <w:rPr>
          <w:rFonts w:ascii="Tahoma" w:hAnsi="Tahoma" w:cs="Tahoma"/>
        </w:rPr>
      </w:pPr>
    </w:p>
    <w:p w:rsidR="00551AB8" w:rsidRPr="0047480B" w:rsidRDefault="00551AB8" w:rsidP="00551AB8">
      <w:pPr>
        <w:rPr>
          <w:rFonts w:ascii="Tahoma" w:hAnsi="Tahoma" w:cs="Tahoma"/>
        </w:rPr>
      </w:pPr>
    </w:p>
    <w:p w:rsidR="003B54DA" w:rsidRDefault="003B54DA" w:rsidP="003B54DA">
      <w:pPr>
        <w:pStyle w:val="Default"/>
      </w:pPr>
    </w:p>
    <w:p w:rsidR="003B54DA" w:rsidRDefault="003B54DA" w:rsidP="00551AB8">
      <w:pPr>
        <w:rPr>
          <w:rFonts w:ascii="Tahoma" w:hAnsi="Tahoma" w:cs="Tahoma"/>
          <w:sz w:val="22"/>
          <w:szCs w:val="19"/>
        </w:rPr>
      </w:pPr>
    </w:p>
    <w:p w:rsidR="003B54DA" w:rsidRDefault="003B54DA" w:rsidP="00551AB8">
      <w:pPr>
        <w:rPr>
          <w:rFonts w:ascii="Tahoma" w:hAnsi="Tahoma" w:cs="Tahoma"/>
          <w:sz w:val="22"/>
          <w:szCs w:val="19"/>
        </w:rPr>
      </w:pPr>
    </w:p>
    <w:p w:rsidR="003B54DA" w:rsidRDefault="003B54DA" w:rsidP="00551AB8">
      <w:pPr>
        <w:rPr>
          <w:rFonts w:ascii="Tahoma" w:hAnsi="Tahoma" w:cs="Tahoma"/>
          <w:sz w:val="22"/>
          <w:szCs w:val="19"/>
        </w:rPr>
      </w:pPr>
    </w:p>
    <w:p w:rsidR="003B54DA" w:rsidRDefault="003B54DA" w:rsidP="00551AB8">
      <w:pPr>
        <w:rPr>
          <w:rFonts w:ascii="Tahoma" w:hAnsi="Tahoma" w:cs="Tahoma"/>
          <w:sz w:val="22"/>
          <w:szCs w:val="19"/>
        </w:rPr>
      </w:pPr>
    </w:p>
    <w:p w:rsidR="003B54DA" w:rsidRDefault="003B54DA" w:rsidP="00551AB8">
      <w:pPr>
        <w:rPr>
          <w:rFonts w:ascii="Tahoma" w:hAnsi="Tahoma" w:cs="Tahoma"/>
          <w:sz w:val="22"/>
          <w:szCs w:val="19"/>
        </w:rPr>
      </w:pPr>
    </w:p>
    <w:p w:rsidR="003B54DA" w:rsidRDefault="003B54DA" w:rsidP="00551AB8">
      <w:pPr>
        <w:rPr>
          <w:rFonts w:ascii="Tahoma" w:hAnsi="Tahoma" w:cs="Tahoma"/>
          <w:sz w:val="22"/>
          <w:szCs w:val="19"/>
        </w:rPr>
      </w:pPr>
    </w:p>
    <w:p w:rsidR="003B54DA" w:rsidRDefault="003B54DA" w:rsidP="00551AB8">
      <w:pPr>
        <w:rPr>
          <w:rFonts w:ascii="Tahoma" w:hAnsi="Tahoma" w:cs="Tahoma"/>
          <w:sz w:val="22"/>
          <w:szCs w:val="19"/>
        </w:rPr>
      </w:pPr>
    </w:p>
    <w:p w:rsidR="003B54DA" w:rsidRDefault="003B54DA" w:rsidP="00551AB8">
      <w:pPr>
        <w:rPr>
          <w:rFonts w:ascii="Tahoma" w:hAnsi="Tahoma" w:cs="Tahoma"/>
          <w:sz w:val="22"/>
          <w:szCs w:val="19"/>
        </w:rPr>
      </w:pPr>
    </w:p>
    <w:p w:rsidR="003B54DA" w:rsidRDefault="003B54DA" w:rsidP="00551AB8">
      <w:pPr>
        <w:rPr>
          <w:rFonts w:ascii="Tahoma" w:hAnsi="Tahoma" w:cs="Tahoma"/>
          <w:sz w:val="22"/>
          <w:szCs w:val="19"/>
        </w:rPr>
      </w:pPr>
    </w:p>
    <w:p w:rsidR="003B54DA" w:rsidRDefault="003B54DA" w:rsidP="00551AB8">
      <w:pPr>
        <w:rPr>
          <w:rFonts w:ascii="Tahoma" w:hAnsi="Tahoma" w:cs="Tahoma"/>
          <w:sz w:val="22"/>
          <w:szCs w:val="19"/>
        </w:rPr>
      </w:pPr>
    </w:p>
    <w:p w:rsidR="003B54DA" w:rsidRDefault="003B54DA" w:rsidP="00551AB8">
      <w:pPr>
        <w:rPr>
          <w:rFonts w:ascii="Tahoma" w:hAnsi="Tahoma" w:cs="Tahoma"/>
          <w:sz w:val="22"/>
          <w:szCs w:val="19"/>
        </w:rPr>
      </w:pPr>
    </w:p>
    <w:p w:rsidR="003B54DA" w:rsidRDefault="003B54DA" w:rsidP="00551AB8">
      <w:pPr>
        <w:rPr>
          <w:rFonts w:ascii="Tahoma" w:hAnsi="Tahoma" w:cs="Tahoma"/>
          <w:sz w:val="22"/>
          <w:szCs w:val="19"/>
        </w:rPr>
      </w:pPr>
    </w:p>
    <w:p w:rsidR="003B54DA" w:rsidRDefault="003B54DA" w:rsidP="00551AB8">
      <w:pPr>
        <w:rPr>
          <w:rFonts w:ascii="Tahoma" w:hAnsi="Tahoma" w:cs="Tahoma"/>
          <w:sz w:val="22"/>
          <w:szCs w:val="19"/>
        </w:rPr>
      </w:pPr>
    </w:p>
    <w:p w:rsidR="003B54DA" w:rsidRDefault="003B54DA" w:rsidP="00551AB8">
      <w:pPr>
        <w:rPr>
          <w:rFonts w:ascii="Tahoma" w:hAnsi="Tahoma" w:cs="Tahoma"/>
          <w:sz w:val="22"/>
          <w:szCs w:val="19"/>
        </w:rPr>
      </w:pPr>
    </w:p>
    <w:p w:rsidR="003B54DA" w:rsidRDefault="003B54DA" w:rsidP="00551AB8">
      <w:pPr>
        <w:rPr>
          <w:rFonts w:ascii="Tahoma" w:hAnsi="Tahoma" w:cs="Tahoma"/>
          <w:sz w:val="22"/>
          <w:szCs w:val="19"/>
        </w:rPr>
      </w:pPr>
      <w:r>
        <w:rPr>
          <w:rFonts w:ascii="Tahoma" w:hAnsi="Tahoma" w:cs="Tahoma"/>
          <w:sz w:val="22"/>
          <w:szCs w:val="19"/>
        </w:rPr>
        <w:t xml:space="preserve">Approved </w:t>
      </w:r>
      <w:r w:rsidR="000F3FB1">
        <w:rPr>
          <w:rFonts w:ascii="Tahoma" w:hAnsi="Tahoma" w:cs="Tahoma"/>
          <w:sz w:val="22"/>
          <w:szCs w:val="19"/>
        </w:rPr>
        <w:t>January 27, 2023</w:t>
      </w:r>
      <w:bookmarkStart w:id="0" w:name="_GoBack"/>
      <w:bookmarkEnd w:id="0"/>
    </w:p>
    <w:sectPr w:rsidR="003B5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0BDD"/>
    <w:multiLevelType w:val="hybridMultilevel"/>
    <w:tmpl w:val="7D90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2253A"/>
    <w:multiLevelType w:val="hybridMultilevel"/>
    <w:tmpl w:val="A724AA62"/>
    <w:lvl w:ilvl="0" w:tplc="0582A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B8"/>
    <w:rsid w:val="000F3FB1"/>
    <w:rsid w:val="003B54DA"/>
    <w:rsid w:val="0047480B"/>
    <w:rsid w:val="00551AB8"/>
    <w:rsid w:val="009A0BDC"/>
    <w:rsid w:val="00A86B71"/>
    <w:rsid w:val="00AB1A75"/>
    <w:rsid w:val="00D04CAE"/>
    <w:rsid w:val="00E2675C"/>
    <w:rsid w:val="00E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34EC"/>
  <w15:chartTrackingRefBased/>
  <w15:docId w15:val="{A8617B72-93B9-4344-9859-9560606F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AB8"/>
    <w:pPr>
      <w:ind w:left="720"/>
      <w:contextualSpacing/>
    </w:pPr>
  </w:style>
  <w:style w:type="paragraph" w:customStyle="1" w:styleId="Default">
    <w:name w:val="Default"/>
    <w:rsid w:val="003B5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Amy</dc:creator>
  <cp:keywords/>
  <dc:description/>
  <cp:lastModifiedBy>Friedman, Amy</cp:lastModifiedBy>
  <cp:revision>5</cp:revision>
  <dcterms:created xsi:type="dcterms:W3CDTF">2023-01-27T17:26:00Z</dcterms:created>
  <dcterms:modified xsi:type="dcterms:W3CDTF">2023-11-29T18:20:00Z</dcterms:modified>
</cp:coreProperties>
</file>